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E5" w:rsidRDefault="00255F28">
      <w:pPr>
        <w:spacing w:after="0" w:line="240" w:lineRule="auto"/>
        <w:jc w:val="center"/>
        <w:rPr>
          <w:rFonts w:ascii="Times New Roman" w:hAnsi="Times New Roman"/>
          <w:sz w:val="28"/>
          <w:szCs w:val="28"/>
        </w:rPr>
      </w:pPr>
      <w:r>
        <w:rPr>
          <w:rFonts w:ascii="Times New Roman" w:hAnsi="Times New Roman"/>
          <w:sz w:val="28"/>
          <w:szCs w:val="28"/>
        </w:rPr>
        <w:t>I</w:t>
      </w:r>
      <w:r w:rsidR="005D6465">
        <w:rPr>
          <w:rFonts w:ascii="Times New Roman" w:hAnsi="Times New Roman"/>
          <w:sz w:val="28"/>
          <w:szCs w:val="28"/>
        </w:rPr>
        <w:t>I</w:t>
      </w:r>
      <w:r>
        <w:rPr>
          <w:rFonts w:ascii="Times New Roman" w:hAnsi="Times New Roman"/>
          <w:sz w:val="28"/>
          <w:szCs w:val="28"/>
        </w:rPr>
        <w:t xml:space="preserve">I </w:t>
      </w:r>
      <w:r w:rsidR="00A12752">
        <w:rPr>
          <w:rFonts w:ascii="Times New Roman" w:hAnsi="Times New Roman"/>
          <w:sz w:val="28"/>
          <w:szCs w:val="28"/>
        </w:rPr>
        <w:t>International Conference</w:t>
      </w:r>
    </w:p>
    <w:p w:rsidR="00B803E5" w:rsidRDefault="00A12752">
      <w:pPr>
        <w:spacing w:after="0" w:line="240" w:lineRule="auto"/>
        <w:jc w:val="center"/>
      </w:pPr>
      <w:r>
        <w:rPr>
          <w:rFonts w:ascii="Times New Roman" w:hAnsi="Times New Roman"/>
          <w:b/>
          <w:sz w:val="28"/>
          <w:szCs w:val="28"/>
        </w:rPr>
        <w:t>Questions of Expertise in Culture, Art and Design</w:t>
      </w:r>
    </w:p>
    <w:p w:rsidR="00B803E5" w:rsidRDefault="00A12752">
      <w:pPr>
        <w:spacing w:after="0" w:line="240" w:lineRule="auto"/>
        <w:jc w:val="center"/>
        <w:rPr>
          <w:rFonts w:ascii="Times New Roman" w:hAnsi="Times New Roman"/>
          <w:b/>
          <w:sz w:val="28"/>
          <w:szCs w:val="28"/>
        </w:rPr>
      </w:pPr>
      <w:r>
        <w:rPr>
          <w:rFonts w:ascii="Times New Roman" w:hAnsi="Times New Roman"/>
          <w:b/>
          <w:sz w:val="28"/>
          <w:szCs w:val="28"/>
        </w:rPr>
        <w:t xml:space="preserve">October </w:t>
      </w:r>
      <w:r w:rsidR="005D6465">
        <w:rPr>
          <w:rFonts w:ascii="Times New Roman" w:hAnsi="Times New Roman"/>
          <w:b/>
          <w:sz w:val="28"/>
          <w:szCs w:val="28"/>
        </w:rPr>
        <w:t>12</w:t>
      </w:r>
      <w:r w:rsidR="00BE6C98" w:rsidRPr="004B1F4A">
        <w:rPr>
          <w:rFonts w:ascii="Times New Roman" w:hAnsi="Times New Roman"/>
          <w:b/>
          <w:sz w:val="28"/>
          <w:szCs w:val="28"/>
        </w:rPr>
        <w:t>-</w:t>
      </w:r>
      <w:r w:rsidR="005D6465">
        <w:rPr>
          <w:rFonts w:ascii="Times New Roman" w:hAnsi="Times New Roman"/>
          <w:b/>
          <w:sz w:val="28"/>
          <w:szCs w:val="28"/>
        </w:rPr>
        <w:t>14</w:t>
      </w:r>
      <w:r>
        <w:rPr>
          <w:rFonts w:ascii="Times New Roman" w:hAnsi="Times New Roman"/>
          <w:b/>
          <w:sz w:val="28"/>
          <w:szCs w:val="28"/>
        </w:rPr>
        <w:t>, 202</w:t>
      </w:r>
      <w:r w:rsidR="005D6465">
        <w:rPr>
          <w:rFonts w:ascii="Times New Roman" w:hAnsi="Times New Roman"/>
          <w:b/>
          <w:sz w:val="28"/>
          <w:szCs w:val="28"/>
        </w:rPr>
        <w:t>2</w:t>
      </w:r>
    </w:p>
    <w:p w:rsidR="00255F28" w:rsidRDefault="00255F28">
      <w:pPr>
        <w:spacing w:after="0" w:line="240" w:lineRule="auto"/>
        <w:jc w:val="center"/>
      </w:pPr>
    </w:p>
    <w:p w:rsidR="00B803E5" w:rsidRDefault="00A12752">
      <w:pPr>
        <w:spacing w:after="0" w:line="240" w:lineRule="auto"/>
        <w:jc w:val="center"/>
        <w:rPr>
          <w:rFonts w:ascii="Times New Roman" w:hAnsi="Times New Roman"/>
          <w:sz w:val="20"/>
          <w:szCs w:val="20"/>
        </w:rPr>
      </w:pPr>
      <w:r>
        <w:rPr>
          <w:rFonts w:ascii="Times New Roman" w:hAnsi="Times New Roman"/>
          <w:sz w:val="20"/>
          <w:szCs w:val="20"/>
        </w:rPr>
        <w:t>Yekaterinburg, Ural Federal University named after the first President of Russia B.N.</w:t>
      </w:r>
      <w:r w:rsidR="00255F28" w:rsidRPr="00255F28">
        <w:rPr>
          <w:rFonts w:ascii="Times New Roman" w:hAnsi="Times New Roman"/>
          <w:sz w:val="20"/>
          <w:szCs w:val="20"/>
        </w:rPr>
        <w:t xml:space="preserve"> </w:t>
      </w:r>
      <w:r>
        <w:rPr>
          <w:rFonts w:ascii="Times New Roman" w:hAnsi="Times New Roman"/>
          <w:sz w:val="20"/>
          <w:szCs w:val="20"/>
        </w:rPr>
        <w:t>Yeltsin</w:t>
      </w:r>
    </w:p>
    <w:p w:rsidR="00B803E5" w:rsidRDefault="00A12752">
      <w:pPr>
        <w:spacing w:after="0" w:line="240" w:lineRule="auto"/>
        <w:jc w:val="center"/>
        <w:rPr>
          <w:rFonts w:ascii="Times New Roman" w:hAnsi="Times New Roman"/>
          <w:sz w:val="20"/>
          <w:szCs w:val="20"/>
        </w:rPr>
      </w:pPr>
      <w:proofErr w:type="gramStart"/>
      <w:r>
        <w:rPr>
          <w:rFonts w:ascii="Times New Roman" w:hAnsi="Times New Roman"/>
          <w:sz w:val="20"/>
          <w:szCs w:val="20"/>
        </w:rPr>
        <w:t>51</w:t>
      </w:r>
      <w:proofErr w:type="gramEnd"/>
      <w:r>
        <w:rPr>
          <w:rFonts w:ascii="Times New Roman" w:hAnsi="Times New Roman"/>
          <w:sz w:val="20"/>
          <w:szCs w:val="20"/>
        </w:rPr>
        <w:t xml:space="preserve"> </w:t>
      </w:r>
      <w:proofErr w:type="spellStart"/>
      <w:r>
        <w:rPr>
          <w:rFonts w:ascii="Times New Roman" w:hAnsi="Times New Roman"/>
          <w:sz w:val="20"/>
          <w:szCs w:val="20"/>
        </w:rPr>
        <w:t>Lenina</w:t>
      </w:r>
      <w:proofErr w:type="spellEnd"/>
      <w:r>
        <w:rPr>
          <w:rFonts w:ascii="Times New Roman" w:hAnsi="Times New Roman"/>
          <w:sz w:val="20"/>
          <w:szCs w:val="20"/>
        </w:rPr>
        <w:t xml:space="preserve"> av., Department of Art History, Cultural Studies and Design</w:t>
      </w:r>
    </w:p>
    <w:p w:rsidR="00B803E5" w:rsidRDefault="00A12752">
      <w:pPr>
        <w:pStyle w:val="a7"/>
        <w:jc w:val="both"/>
      </w:pPr>
      <w:r>
        <w:t xml:space="preserve">The conference proposes to discuss the emerging new position of expert assessment within culture, history and design. During the 2010s, two lines of interpretation have </w:t>
      </w:r>
      <w:proofErr w:type="gramStart"/>
      <w:r>
        <w:t>emerged:</w:t>
      </w:r>
      <w:proofErr w:type="gramEnd"/>
      <w:r>
        <w:t xml:space="preserve"> one strictly specialized (the traditional questions of attribution in art history, or the role of cultural expert assessment in legal setting), the other more general humanistic approach that focuses on the growing importance of the role of an expert within contemporary sociocultural processes.</w:t>
      </w:r>
    </w:p>
    <w:p w:rsidR="00B803E5" w:rsidRDefault="00A12752">
      <w:pPr>
        <w:pStyle w:val="a7"/>
        <w:jc w:val="both"/>
      </w:pPr>
      <w:r>
        <w:t xml:space="preserve">What are the limits of professional responsibility and objectivity required from an expert? What is the role of an expert in the capital and in the regions; is there any difference between regional and federal authorities regarding expert participation in </w:t>
      </w:r>
      <w:proofErr w:type="gramStart"/>
      <w:r>
        <w:t>decision</w:t>
      </w:r>
      <w:r w:rsidR="00255F28" w:rsidRPr="00255F28">
        <w:t xml:space="preserve"> </w:t>
      </w:r>
      <w:r>
        <w:t>making</w:t>
      </w:r>
      <w:proofErr w:type="gramEnd"/>
      <w:r>
        <w:t xml:space="preserve">? What are the professional requirements for an expert working in the “Instagram world”? These and many other questions </w:t>
      </w:r>
      <w:proofErr w:type="gramStart"/>
      <w:r>
        <w:t>are proposed</w:t>
      </w:r>
      <w:proofErr w:type="gramEnd"/>
      <w:r>
        <w:t xml:space="preserve"> for the conference discussion. </w:t>
      </w:r>
    </w:p>
    <w:p w:rsidR="00B803E5" w:rsidRDefault="00A12752">
      <w:pPr>
        <w:pStyle w:val="a7"/>
        <w:jc w:val="both"/>
      </w:pPr>
      <w:r>
        <w:t>We invite to participate researchers in art history, cultural studies, design, fashion, as well as postgraduate students and academic scholars.</w:t>
      </w:r>
    </w:p>
    <w:p w:rsidR="00B803E5" w:rsidRDefault="00A12752">
      <w:pPr>
        <w:spacing w:after="0" w:line="240" w:lineRule="auto"/>
      </w:pPr>
      <w:r>
        <w:rPr>
          <w:rFonts w:ascii="Times New Roman" w:hAnsi="Times New Roman"/>
          <w:sz w:val="24"/>
          <w:szCs w:val="24"/>
        </w:rPr>
        <w:t xml:space="preserve">Deadline for application submission: </w:t>
      </w:r>
      <w:r w:rsidR="00C25C60">
        <w:rPr>
          <w:rFonts w:ascii="Times New Roman" w:hAnsi="Times New Roman"/>
          <w:b/>
          <w:bCs/>
          <w:sz w:val="24"/>
          <w:szCs w:val="24"/>
        </w:rPr>
        <w:t>May</w:t>
      </w:r>
      <w:r>
        <w:rPr>
          <w:rFonts w:ascii="Times New Roman" w:hAnsi="Times New Roman"/>
          <w:b/>
          <w:bCs/>
          <w:sz w:val="24"/>
          <w:szCs w:val="24"/>
        </w:rPr>
        <w:t xml:space="preserve"> </w:t>
      </w:r>
      <w:r w:rsidR="00C25C60">
        <w:rPr>
          <w:rFonts w:ascii="Times New Roman" w:hAnsi="Times New Roman"/>
          <w:b/>
          <w:bCs/>
          <w:sz w:val="24"/>
          <w:szCs w:val="24"/>
        </w:rPr>
        <w:t>15</w:t>
      </w:r>
      <w:r>
        <w:rPr>
          <w:rFonts w:ascii="Times New Roman" w:hAnsi="Times New Roman"/>
          <w:b/>
          <w:bCs/>
          <w:sz w:val="24"/>
          <w:szCs w:val="24"/>
        </w:rPr>
        <w:t>, 202</w:t>
      </w:r>
      <w:r w:rsidR="005D6465">
        <w:rPr>
          <w:rFonts w:ascii="Times New Roman" w:hAnsi="Times New Roman"/>
          <w:b/>
          <w:bCs/>
          <w:sz w:val="24"/>
          <w:szCs w:val="24"/>
        </w:rPr>
        <w:t>2</w:t>
      </w:r>
    </w:p>
    <w:p w:rsidR="00B803E5" w:rsidRDefault="00A12752">
      <w:pPr>
        <w:spacing w:after="0" w:line="240" w:lineRule="auto"/>
      </w:pPr>
      <w:r>
        <w:rPr>
          <w:rFonts w:ascii="Times New Roman" w:hAnsi="Times New Roman"/>
          <w:sz w:val="24"/>
          <w:szCs w:val="24"/>
        </w:rPr>
        <w:t xml:space="preserve">Letters of acceptance and official invitations </w:t>
      </w:r>
      <w:proofErr w:type="gramStart"/>
      <w:r>
        <w:rPr>
          <w:rFonts w:ascii="Times New Roman" w:hAnsi="Times New Roman"/>
          <w:sz w:val="24"/>
          <w:szCs w:val="24"/>
        </w:rPr>
        <w:t>will be sent</w:t>
      </w:r>
      <w:proofErr w:type="gramEnd"/>
      <w:r>
        <w:rPr>
          <w:rFonts w:ascii="Times New Roman" w:hAnsi="Times New Roman"/>
          <w:sz w:val="24"/>
          <w:szCs w:val="24"/>
        </w:rPr>
        <w:t xml:space="preserve"> on </w:t>
      </w:r>
      <w:r w:rsidR="00C25C60">
        <w:rPr>
          <w:rFonts w:ascii="Times New Roman" w:hAnsi="Times New Roman"/>
          <w:b/>
          <w:bCs/>
          <w:sz w:val="24"/>
          <w:szCs w:val="24"/>
        </w:rPr>
        <w:t>July</w:t>
      </w:r>
      <w:r>
        <w:rPr>
          <w:rFonts w:ascii="Times New Roman" w:hAnsi="Times New Roman"/>
          <w:b/>
          <w:bCs/>
          <w:sz w:val="24"/>
          <w:szCs w:val="24"/>
        </w:rPr>
        <w:t xml:space="preserve"> </w:t>
      </w:r>
      <w:r w:rsidR="00C25C60">
        <w:rPr>
          <w:rFonts w:ascii="Times New Roman" w:hAnsi="Times New Roman"/>
          <w:b/>
          <w:bCs/>
          <w:sz w:val="24"/>
          <w:szCs w:val="24"/>
        </w:rPr>
        <w:t>15</w:t>
      </w:r>
    </w:p>
    <w:p w:rsidR="00B803E5" w:rsidRDefault="00A12752">
      <w:pPr>
        <w:pStyle w:val="a7"/>
        <w:jc w:val="both"/>
      </w:pPr>
      <w:r>
        <w:rPr>
          <w:color w:val="000000"/>
        </w:rPr>
        <w:t xml:space="preserve">Following the conference, selected papers </w:t>
      </w:r>
      <w:proofErr w:type="gramStart"/>
      <w:r>
        <w:rPr>
          <w:color w:val="000000"/>
        </w:rPr>
        <w:t>will be published</w:t>
      </w:r>
      <w:proofErr w:type="gramEnd"/>
      <w:r>
        <w:rPr>
          <w:color w:val="000000"/>
        </w:rPr>
        <w:t xml:space="preserve"> in the</w:t>
      </w:r>
      <w:r>
        <w:rPr>
          <w:b/>
          <w:bCs/>
          <w:color w:val="000000"/>
        </w:rPr>
        <w:t xml:space="preserve"> </w:t>
      </w:r>
      <w:r w:rsidR="00C25C60" w:rsidRPr="00C25C60">
        <w:rPr>
          <w:bCs/>
          <w:color w:val="000000"/>
        </w:rPr>
        <w:t>specialized journals indexed in</w:t>
      </w:r>
      <w:r w:rsidR="00C25C60" w:rsidRPr="00C25C60">
        <w:rPr>
          <w:b/>
          <w:bCs/>
          <w:color w:val="000000"/>
        </w:rPr>
        <w:t xml:space="preserve"> the Higher Attestation Commission </w:t>
      </w:r>
      <w:r w:rsidR="00C25C60" w:rsidRPr="00C25C60">
        <w:rPr>
          <w:bCs/>
          <w:color w:val="000000"/>
        </w:rPr>
        <w:t>and</w:t>
      </w:r>
      <w:r w:rsidR="00C25C60" w:rsidRPr="00C25C60">
        <w:rPr>
          <w:b/>
          <w:bCs/>
          <w:color w:val="000000"/>
        </w:rPr>
        <w:t xml:space="preserve"> the Web of Science.</w:t>
      </w:r>
    </w:p>
    <w:p w:rsidR="00B803E5" w:rsidRDefault="00A12752">
      <w:pPr>
        <w:pStyle w:val="a7"/>
        <w:jc w:val="both"/>
        <w:rPr>
          <w:b/>
          <w:bCs/>
        </w:rPr>
      </w:pPr>
      <w:r>
        <w:rPr>
          <w:b/>
          <w:bCs/>
        </w:rPr>
        <w:t>Conference tracks:</w:t>
      </w:r>
    </w:p>
    <w:p w:rsidR="00B803E5" w:rsidRDefault="00A12752">
      <w:pPr>
        <w:spacing w:after="0" w:line="240" w:lineRule="auto"/>
      </w:pPr>
      <w:r>
        <w:rPr>
          <w:rFonts w:ascii="Times New Roman" w:hAnsi="Times New Roman"/>
          <w:sz w:val="24"/>
          <w:szCs w:val="24"/>
        </w:rPr>
        <w:t xml:space="preserve">Section 1. Culture </w:t>
      </w:r>
    </w:p>
    <w:p w:rsidR="00B803E5" w:rsidRDefault="00A12752">
      <w:pPr>
        <w:pStyle w:val="FirstParagraph"/>
        <w:spacing w:before="0" w:after="0" w:line="240" w:lineRule="auto"/>
      </w:pPr>
      <w:r>
        <w:rPr>
          <w:b/>
          <w:bCs/>
          <w:sz w:val="24"/>
        </w:rPr>
        <w:t xml:space="preserve">Humanistic knowledge as an expert assessment of sociocultural processes   </w:t>
      </w:r>
    </w:p>
    <w:p w:rsidR="00B803E5" w:rsidRDefault="00B803E5">
      <w:pPr>
        <w:pStyle w:val="a5"/>
        <w:spacing w:before="0" w:after="0" w:line="276" w:lineRule="auto"/>
        <w:jc w:val="both"/>
        <w:rPr>
          <w:sz w:val="24"/>
        </w:rPr>
      </w:pPr>
    </w:p>
    <w:p w:rsidR="00B803E5" w:rsidRDefault="00A12752">
      <w:pPr>
        <w:numPr>
          <w:ilvl w:val="0"/>
          <w:numId w:val="1"/>
        </w:numPr>
        <w:spacing w:after="0"/>
        <w:jc w:val="both"/>
      </w:pPr>
      <w:r>
        <w:rPr>
          <w:rFonts w:ascii="Times New Roman" w:hAnsi="Times New Roman"/>
          <w:sz w:val="24"/>
          <w:szCs w:val="24"/>
        </w:rPr>
        <w:t>The subject and the limits of cultural expert evaluation.</w:t>
      </w:r>
    </w:p>
    <w:p w:rsidR="00B803E5" w:rsidRDefault="00A12752">
      <w:pPr>
        <w:numPr>
          <w:ilvl w:val="0"/>
          <w:numId w:val="1"/>
        </w:numPr>
        <w:spacing w:after="0"/>
        <w:jc w:val="both"/>
      </w:pPr>
      <w:r>
        <w:rPr>
          <w:rFonts w:ascii="Times New Roman" w:hAnsi="Times New Roman"/>
          <w:sz w:val="24"/>
          <w:szCs w:val="24"/>
        </w:rPr>
        <w:t>Methods of expert assessment of sociocultural processes</w:t>
      </w:r>
    </w:p>
    <w:p w:rsidR="00B803E5" w:rsidRDefault="00A12752">
      <w:pPr>
        <w:numPr>
          <w:ilvl w:val="0"/>
          <w:numId w:val="1"/>
        </w:numPr>
        <w:spacing w:after="0"/>
        <w:jc w:val="both"/>
      </w:pPr>
      <w:r>
        <w:rPr>
          <w:rFonts w:ascii="Times New Roman" w:hAnsi="Times New Roman"/>
          <w:sz w:val="24"/>
          <w:szCs w:val="24"/>
        </w:rPr>
        <w:t>Digital transformation of culture as a challenge for contemporary humanities</w:t>
      </w:r>
    </w:p>
    <w:p w:rsidR="00B803E5" w:rsidRDefault="00A12752">
      <w:pPr>
        <w:numPr>
          <w:ilvl w:val="0"/>
          <w:numId w:val="1"/>
        </w:numPr>
        <w:spacing w:after="0"/>
        <w:jc w:val="both"/>
      </w:pPr>
      <w:r>
        <w:rPr>
          <w:rFonts w:ascii="Times New Roman" w:hAnsi="Times New Roman"/>
          <w:sz w:val="24"/>
          <w:szCs w:val="24"/>
        </w:rPr>
        <w:t>The variety of models of contemporary cultural expert (“legislators”, critics, mediators, etc.).</w:t>
      </w:r>
    </w:p>
    <w:p w:rsidR="00B803E5" w:rsidRDefault="00A12752">
      <w:pPr>
        <w:numPr>
          <w:ilvl w:val="0"/>
          <w:numId w:val="1"/>
        </w:numPr>
        <w:spacing w:after="0"/>
        <w:jc w:val="both"/>
      </w:pPr>
      <w:r>
        <w:rPr>
          <w:rFonts w:ascii="Times New Roman" w:hAnsi="Times New Roman"/>
          <w:sz w:val="24"/>
          <w:szCs w:val="24"/>
        </w:rPr>
        <w:t>Professional ethics as an object of cultural expert evaluation.</w:t>
      </w:r>
    </w:p>
    <w:p w:rsidR="00B803E5" w:rsidRDefault="00B803E5">
      <w:pPr>
        <w:spacing w:after="0" w:line="240" w:lineRule="auto"/>
        <w:rPr>
          <w:rFonts w:ascii="Times New Roman" w:hAnsi="Times New Roman"/>
          <w:sz w:val="24"/>
          <w:szCs w:val="24"/>
        </w:rPr>
      </w:pPr>
    </w:p>
    <w:p w:rsidR="00B803E5" w:rsidRDefault="00A12752">
      <w:pPr>
        <w:spacing w:after="0" w:line="240" w:lineRule="auto"/>
      </w:pPr>
      <w:r>
        <w:rPr>
          <w:rFonts w:ascii="Times New Roman" w:hAnsi="Times New Roman"/>
          <w:sz w:val="24"/>
          <w:szCs w:val="24"/>
        </w:rPr>
        <w:t>Section 2. Art</w:t>
      </w:r>
    </w:p>
    <w:p w:rsidR="00B803E5" w:rsidRDefault="00A12752">
      <w:pPr>
        <w:spacing w:after="0" w:line="240" w:lineRule="auto"/>
      </w:pPr>
      <w:r>
        <w:rPr>
          <w:rFonts w:ascii="Times New Roman" w:hAnsi="Times New Roman"/>
          <w:b/>
          <w:sz w:val="24"/>
          <w:szCs w:val="24"/>
        </w:rPr>
        <w:t>New approaches to expert assessment as a foundation of new art history?</w:t>
      </w:r>
    </w:p>
    <w:p w:rsidR="00B803E5" w:rsidRDefault="00B803E5">
      <w:pPr>
        <w:spacing w:after="0" w:line="240" w:lineRule="auto"/>
        <w:rPr>
          <w:rFonts w:ascii="Times New Roman" w:hAnsi="Times New Roman"/>
          <w:sz w:val="24"/>
          <w:szCs w:val="24"/>
        </w:rPr>
      </w:pPr>
    </w:p>
    <w:p w:rsidR="00B803E5" w:rsidRDefault="00A12752">
      <w:pPr>
        <w:pStyle w:val="a8"/>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Technical, technological, historical and archival aspects of professional evaluation of art objects</w:t>
      </w:r>
    </w:p>
    <w:p w:rsidR="00B803E5" w:rsidRDefault="00A12752">
      <w:pPr>
        <w:pStyle w:val="a8"/>
        <w:numPr>
          <w:ilvl w:val="0"/>
          <w:numId w:val="2"/>
        </w:numPr>
        <w:spacing w:after="0" w:line="240" w:lineRule="auto"/>
        <w:ind w:left="426" w:hanging="426"/>
      </w:pPr>
      <w:r>
        <w:rPr>
          <w:rFonts w:ascii="Times New Roman" w:hAnsi="Times New Roman"/>
          <w:sz w:val="24"/>
          <w:szCs w:val="24"/>
        </w:rPr>
        <w:t>Expert assessment and attribution: difference in approaches</w:t>
      </w:r>
    </w:p>
    <w:p w:rsidR="00B803E5" w:rsidRDefault="00A12752">
      <w:pPr>
        <w:pStyle w:val="a8"/>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Legal questions and risks of expert assessment</w:t>
      </w:r>
    </w:p>
    <w:p w:rsidR="00B803E5" w:rsidRDefault="00A12752">
      <w:pPr>
        <w:pStyle w:val="a8"/>
        <w:numPr>
          <w:ilvl w:val="0"/>
          <w:numId w:val="2"/>
        </w:numPr>
        <w:spacing w:after="0" w:line="240" w:lineRule="auto"/>
        <w:ind w:left="426" w:hanging="426"/>
      </w:pPr>
      <w:r>
        <w:rPr>
          <w:rFonts w:ascii="Times New Roman" w:hAnsi="Times New Roman"/>
          <w:sz w:val="24"/>
          <w:szCs w:val="24"/>
        </w:rPr>
        <w:t>Regional collections and their research</w:t>
      </w:r>
    </w:p>
    <w:p w:rsidR="00B803E5" w:rsidRDefault="00A12752">
      <w:pPr>
        <w:pStyle w:val="a8"/>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Contemporary art: what kind of assessment it requires?</w:t>
      </w:r>
    </w:p>
    <w:p w:rsidR="00B803E5" w:rsidRDefault="00A12752">
      <w:pPr>
        <w:pStyle w:val="a8"/>
        <w:numPr>
          <w:ilvl w:val="0"/>
          <w:numId w:val="2"/>
        </w:numPr>
        <w:spacing w:after="0" w:line="240" w:lineRule="auto"/>
        <w:ind w:left="426" w:hanging="426"/>
        <w:rPr>
          <w:rFonts w:ascii="Times New Roman" w:hAnsi="Times New Roman"/>
          <w:sz w:val="24"/>
          <w:szCs w:val="24"/>
        </w:rPr>
      </w:pPr>
      <w:r>
        <w:rPr>
          <w:rFonts w:ascii="Times New Roman" w:hAnsi="Times New Roman"/>
          <w:sz w:val="24"/>
          <w:szCs w:val="24"/>
        </w:rPr>
        <w:t>Local expert assessment and global art market</w:t>
      </w:r>
    </w:p>
    <w:p w:rsidR="00B803E5" w:rsidRDefault="00A12752">
      <w:pPr>
        <w:pStyle w:val="a8"/>
        <w:numPr>
          <w:ilvl w:val="0"/>
          <w:numId w:val="2"/>
        </w:numPr>
        <w:spacing w:after="0" w:line="240" w:lineRule="auto"/>
        <w:ind w:left="426" w:hanging="426"/>
      </w:pPr>
      <w:r>
        <w:rPr>
          <w:rFonts w:ascii="Times New Roman" w:hAnsi="Times New Roman"/>
          <w:sz w:val="24"/>
          <w:szCs w:val="24"/>
        </w:rPr>
        <w:lastRenderedPageBreak/>
        <w:t>From connoisseur to the expert: changing approaches, technologies and tools</w:t>
      </w:r>
    </w:p>
    <w:p w:rsidR="00B803E5" w:rsidRDefault="00B803E5">
      <w:pPr>
        <w:spacing w:after="0" w:line="240" w:lineRule="auto"/>
        <w:rPr>
          <w:rFonts w:ascii="Times New Roman" w:hAnsi="Times New Roman"/>
          <w:sz w:val="24"/>
          <w:szCs w:val="24"/>
        </w:rPr>
      </w:pPr>
    </w:p>
    <w:p w:rsidR="00B803E5" w:rsidRDefault="00A12752">
      <w:pPr>
        <w:spacing w:after="0" w:line="240" w:lineRule="auto"/>
      </w:pPr>
      <w:r>
        <w:rPr>
          <w:rFonts w:ascii="Times New Roman" w:hAnsi="Times New Roman"/>
          <w:sz w:val="24"/>
          <w:szCs w:val="24"/>
        </w:rPr>
        <w:t xml:space="preserve">Section 3. Design </w:t>
      </w:r>
    </w:p>
    <w:p w:rsidR="00B803E5" w:rsidRDefault="00A127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21st century design: new goals, new methods, new technologies</w:t>
      </w:r>
    </w:p>
    <w:p w:rsidR="00B803E5" w:rsidRDefault="00B803E5">
      <w:pPr>
        <w:spacing w:after="0" w:line="240" w:lineRule="auto"/>
        <w:rPr>
          <w:rFonts w:ascii="Times New Roman" w:eastAsia="Times New Roman" w:hAnsi="Times New Roman" w:cs="Times New Roman"/>
          <w:sz w:val="24"/>
          <w:szCs w:val="24"/>
          <w:lang w:eastAsia="ru-RU"/>
        </w:rPr>
      </w:pPr>
    </w:p>
    <w:p w:rsidR="00B803E5" w:rsidRDefault="00A12752">
      <w:pPr>
        <w:pStyle w:val="a8"/>
        <w:numPr>
          <w:ilvl w:val="0"/>
          <w:numId w:val="3"/>
        </w:numPr>
        <w:spacing w:after="0" w:line="240" w:lineRule="auto"/>
      </w:pPr>
      <w:r>
        <w:rPr>
          <w:rFonts w:ascii="Times New Roman" w:eastAsia="Times New Roman" w:hAnsi="Times New Roman" w:cs="Times New Roman"/>
          <w:sz w:val="24"/>
          <w:szCs w:val="24"/>
          <w:lang w:eastAsia="ru-RU"/>
        </w:rPr>
        <w:t>Design as a profession and vocation: markers of professionalism</w:t>
      </w:r>
    </w:p>
    <w:p w:rsidR="00B803E5" w:rsidRDefault="00A12752">
      <w:pPr>
        <w:pStyle w:val="a8"/>
        <w:numPr>
          <w:ilvl w:val="0"/>
          <w:numId w:val="3"/>
        </w:numPr>
        <w:spacing w:after="0" w:line="240" w:lineRule="auto"/>
      </w:pPr>
      <w:r>
        <w:rPr>
          <w:rFonts w:ascii="Times New Roman" w:eastAsia="Times New Roman" w:hAnsi="Times New Roman" w:cs="Times New Roman"/>
          <w:sz w:val="24"/>
          <w:szCs w:val="24"/>
          <w:lang w:eastAsia="ru-RU"/>
        </w:rPr>
        <w:t xml:space="preserve">Aesthetic and stylistic evaluation of design: where are the experts? </w:t>
      </w:r>
    </w:p>
    <w:p w:rsidR="00B803E5"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Questions of authorship and copyright in design</w:t>
      </w:r>
    </w:p>
    <w:p w:rsidR="00B803E5"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role of the designers in social, educational, urban and museum projects</w:t>
      </w:r>
    </w:p>
    <w:p w:rsidR="00B803E5"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Inclusive design and universal design: evaluation criteria </w:t>
      </w:r>
    </w:p>
    <w:p w:rsidR="00B803E5"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Virtual and augmented realities as design products</w:t>
      </w:r>
    </w:p>
    <w:p w:rsidR="00B803E5" w:rsidRDefault="00A12752">
      <w:pPr>
        <w:pStyle w:val="a8"/>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Expert assessment of sustainable design: the challenges of comprehensive evaluation </w:t>
      </w:r>
    </w:p>
    <w:p w:rsidR="00B803E5" w:rsidRDefault="00B803E5">
      <w:pPr>
        <w:pStyle w:val="a8"/>
        <w:spacing w:after="0" w:line="240" w:lineRule="auto"/>
        <w:rPr>
          <w:rFonts w:ascii="Times New Roman" w:hAnsi="Times New Roman"/>
          <w:sz w:val="24"/>
          <w:szCs w:val="24"/>
        </w:rPr>
      </w:pPr>
    </w:p>
    <w:p w:rsidR="00B803E5" w:rsidRDefault="00B803E5">
      <w:pPr>
        <w:spacing w:after="0" w:line="240" w:lineRule="auto"/>
        <w:rPr>
          <w:rFonts w:ascii="&amp;quot" w:eastAsia="Times New Roman" w:hAnsi="&amp;quot" w:cs="Times New Roman"/>
          <w:color w:val="000000"/>
          <w:sz w:val="24"/>
          <w:szCs w:val="24"/>
          <w:lang w:eastAsia="ru-RU"/>
        </w:rPr>
      </w:pPr>
    </w:p>
    <w:p w:rsidR="004B1F4A" w:rsidRPr="00255F28" w:rsidRDefault="00A12752" w:rsidP="004B1F4A">
      <w:pPr>
        <w:spacing w:after="0" w:line="240" w:lineRule="auto"/>
        <w:rPr>
          <w:rFonts w:ascii="Times New Roman" w:hAnsi="Times New Roman"/>
          <w:sz w:val="28"/>
          <w:szCs w:val="28"/>
        </w:rPr>
      </w:pPr>
      <w:r>
        <w:rPr>
          <w:rStyle w:val="a4"/>
          <w:rFonts w:ascii="Times New Roman" w:hAnsi="Times New Roman" w:cs="Times New Roman"/>
        </w:rPr>
        <w:t xml:space="preserve">Prospective participants </w:t>
      </w:r>
      <w:r>
        <w:rPr>
          <w:rStyle w:val="a4"/>
          <w:rFonts w:ascii="Times New Roman" w:hAnsi="Times New Roman" w:cs="Times New Roman"/>
          <w:b w:val="0"/>
          <w:bCs w:val="0"/>
        </w:rPr>
        <w:t xml:space="preserve">please submit your application, with an abstract (up to 500 characters) and information about the author, at </w:t>
      </w:r>
      <w:hyperlink r:id="rId5">
        <w:r w:rsidRPr="005D6465">
          <w:rPr>
            <w:rStyle w:val="a4"/>
            <w:rFonts w:ascii="Times New Roman" w:hAnsi="Times New Roman" w:cs="Times New Roman"/>
            <w:b w:val="0"/>
            <w:bCs w:val="0"/>
            <w:u w:val="single"/>
          </w:rPr>
          <w:t>arthist@urfu.ru</w:t>
        </w:r>
      </w:hyperlink>
      <w:r>
        <w:rPr>
          <w:rStyle w:val="a4"/>
          <w:rFonts w:ascii="Times New Roman" w:hAnsi="Times New Roman" w:cs="Times New Roman"/>
          <w:b w:val="0"/>
          <w:bCs w:val="0"/>
        </w:rPr>
        <w:t xml:space="preserve"> Application deadline: </w:t>
      </w:r>
      <w:r w:rsidR="00EF0512">
        <w:rPr>
          <w:rStyle w:val="a4"/>
          <w:rFonts w:ascii="Times New Roman" w:hAnsi="Times New Roman" w:cs="Times New Roman"/>
          <w:color w:val="FF0000"/>
          <w:u w:val="single"/>
        </w:rPr>
        <w:t>May</w:t>
      </w:r>
      <w:r>
        <w:rPr>
          <w:rStyle w:val="a4"/>
          <w:rFonts w:ascii="Times New Roman" w:hAnsi="Times New Roman" w:cs="Times New Roman"/>
          <w:color w:val="FF0000"/>
          <w:u w:val="single"/>
        </w:rPr>
        <w:t xml:space="preserve"> </w:t>
      </w:r>
      <w:r w:rsidR="00EF0512">
        <w:rPr>
          <w:rStyle w:val="a4"/>
          <w:rFonts w:ascii="Times New Roman" w:hAnsi="Times New Roman" w:cs="Times New Roman"/>
          <w:color w:val="FF0000"/>
          <w:u w:val="single"/>
        </w:rPr>
        <w:t>15</w:t>
      </w:r>
      <w:bookmarkStart w:id="0" w:name="_GoBack"/>
      <w:bookmarkEnd w:id="0"/>
      <w:r>
        <w:rPr>
          <w:rStyle w:val="a4"/>
          <w:rFonts w:ascii="Times New Roman" w:hAnsi="Times New Roman" w:cs="Times New Roman"/>
          <w:color w:val="FF0000"/>
          <w:u w:val="single"/>
        </w:rPr>
        <w:t>, 202</w:t>
      </w:r>
      <w:r w:rsidR="005D6465">
        <w:rPr>
          <w:rStyle w:val="a4"/>
          <w:rFonts w:ascii="Times New Roman" w:hAnsi="Times New Roman" w:cs="Times New Roman"/>
          <w:color w:val="FF0000"/>
          <w:u w:val="single"/>
        </w:rPr>
        <w:t>2</w:t>
      </w:r>
      <w:r>
        <w:rPr>
          <w:rStyle w:val="a4"/>
          <w:rFonts w:ascii="Times New Roman" w:hAnsi="Times New Roman" w:cs="Times New Roman"/>
          <w:b w:val="0"/>
          <w:bCs w:val="0"/>
        </w:rPr>
        <w:t>.</w:t>
      </w:r>
      <w:r w:rsidR="004B1F4A" w:rsidRPr="004B1F4A">
        <w:rPr>
          <w:rFonts w:ascii="Times New Roman" w:hAnsi="Times New Roman"/>
          <w:sz w:val="28"/>
          <w:szCs w:val="28"/>
        </w:rPr>
        <w:t xml:space="preserve"> </w:t>
      </w:r>
    </w:p>
    <w:p w:rsidR="004B1F4A" w:rsidRPr="00255F28" w:rsidRDefault="004B1F4A" w:rsidP="004B1F4A">
      <w:pPr>
        <w:spacing w:after="0" w:line="240" w:lineRule="auto"/>
        <w:rPr>
          <w:rFonts w:ascii="Times New Roman" w:hAnsi="Times New Roman"/>
          <w:sz w:val="28"/>
          <w:szCs w:val="28"/>
        </w:rPr>
      </w:pPr>
    </w:p>
    <w:p w:rsidR="006F4E25" w:rsidRPr="006F4E25" w:rsidRDefault="006F4E25" w:rsidP="0051761D">
      <w:pPr>
        <w:pStyle w:val="a7"/>
      </w:pPr>
      <w:r w:rsidRPr="006F4E25">
        <w:rPr>
          <w:b/>
        </w:rPr>
        <w:t xml:space="preserve">The official page </w:t>
      </w:r>
      <w:r w:rsidRPr="00196DFC">
        <w:t>of the</w:t>
      </w:r>
      <w:r w:rsidRPr="006F4E25">
        <w:rPr>
          <w:b/>
        </w:rPr>
        <w:t xml:space="preserve"> </w:t>
      </w:r>
      <w:r w:rsidRPr="006F4E25">
        <w:t>conference on the website of th</w:t>
      </w:r>
      <w:r>
        <w:t>e Ural Humanitarian Institute,</w:t>
      </w:r>
      <w:r w:rsidRPr="006F4E25">
        <w:t xml:space="preserve"> Ur</w:t>
      </w:r>
      <w:r>
        <w:t>al Federal University</w:t>
      </w:r>
      <w:r w:rsidR="0051761D" w:rsidRPr="0051761D">
        <w:t xml:space="preserve"> (including conference archives for 2019-2020)</w:t>
      </w:r>
      <w:r w:rsidRPr="006F4E25">
        <w:t xml:space="preserve">: </w:t>
      </w:r>
      <w:hyperlink r:id="rId6" w:history="1">
        <w:r w:rsidRPr="00AC2EDB">
          <w:rPr>
            <w:rStyle w:val="a9"/>
          </w:rPr>
          <w:t>https://urgi.urfu.ru/ru/conf/conference-expertise-en/</w:t>
        </w:r>
      </w:hyperlink>
      <w:r>
        <w:t xml:space="preserve"> </w:t>
      </w:r>
    </w:p>
    <w:sectPr w:rsidR="006F4E25" w:rsidRPr="006F4E25" w:rsidSect="00B803E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20"/>
    <w:multiLevelType w:val="multilevel"/>
    <w:tmpl w:val="F7D8A478"/>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 w15:restartNumberingAfterBreak="0">
    <w:nsid w:val="196C0648"/>
    <w:multiLevelType w:val="multilevel"/>
    <w:tmpl w:val="5E3EFC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09255A"/>
    <w:multiLevelType w:val="multilevel"/>
    <w:tmpl w:val="32BA90E4"/>
    <w:lvl w:ilvl="0">
      <w:start w:val="1"/>
      <w:numFmt w:val="bullet"/>
      <w:lvlText w:val=""/>
      <w:lvlJc w:val="left"/>
      <w:pPr>
        <w:ind w:left="480" w:hanging="480"/>
      </w:pPr>
      <w:rPr>
        <w:rFonts w:ascii="Symbol" w:hAnsi="Symbol" w:cs="Symbol" w:hint="default"/>
        <w:sz w:val="24"/>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15:restartNumberingAfterBreak="0">
    <w:nsid w:val="735023A2"/>
    <w:multiLevelType w:val="multilevel"/>
    <w:tmpl w:val="8F4486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03E5"/>
    <w:rsid w:val="000B5673"/>
    <w:rsid w:val="00196DFC"/>
    <w:rsid w:val="00255F28"/>
    <w:rsid w:val="004B1F4A"/>
    <w:rsid w:val="0051761D"/>
    <w:rsid w:val="005D6465"/>
    <w:rsid w:val="006F0811"/>
    <w:rsid w:val="006F4E25"/>
    <w:rsid w:val="00A12752"/>
    <w:rsid w:val="00B803E5"/>
    <w:rsid w:val="00BE6C98"/>
    <w:rsid w:val="00C25C60"/>
    <w:rsid w:val="00EF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7D3E"/>
  <w15:docId w15:val="{B5B39C14-FCA3-40AB-B085-4563C28C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E5"/>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803E5"/>
    <w:rPr>
      <w:rFonts w:ascii="Times New Roman" w:hAnsi="Times New Roman"/>
      <w:sz w:val="28"/>
      <w:szCs w:val="24"/>
    </w:rPr>
  </w:style>
  <w:style w:type="character" w:styleId="a4">
    <w:name w:val="Strong"/>
    <w:basedOn w:val="a0"/>
    <w:qFormat/>
    <w:rsid w:val="00B803E5"/>
    <w:rPr>
      <w:b/>
      <w:bCs/>
    </w:rPr>
  </w:style>
  <w:style w:type="character" w:customStyle="1" w:styleId="InternetLink">
    <w:name w:val="Internet Link"/>
    <w:basedOn w:val="a0"/>
    <w:rsid w:val="00B803E5"/>
    <w:rPr>
      <w:color w:val="0000FF"/>
      <w:u w:val="single"/>
    </w:rPr>
  </w:style>
  <w:style w:type="paragraph" w:customStyle="1" w:styleId="Heading">
    <w:name w:val="Heading"/>
    <w:basedOn w:val="a"/>
    <w:next w:val="a5"/>
    <w:qFormat/>
    <w:rsid w:val="00B803E5"/>
    <w:pPr>
      <w:keepNext/>
      <w:spacing w:before="240" w:after="120"/>
    </w:pPr>
    <w:rPr>
      <w:rFonts w:ascii="Times New Roman" w:eastAsia="Droid Sans Fallback" w:hAnsi="Times New Roman" w:cs="Droid Sans Devanagari"/>
      <w:sz w:val="28"/>
      <w:szCs w:val="28"/>
    </w:rPr>
  </w:style>
  <w:style w:type="paragraph" w:styleId="a5">
    <w:name w:val="Body Text"/>
    <w:basedOn w:val="a"/>
    <w:rsid w:val="00B803E5"/>
    <w:pPr>
      <w:spacing w:before="180" w:after="180" w:line="360" w:lineRule="auto"/>
    </w:pPr>
    <w:rPr>
      <w:rFonts w:ascii="Times New Roman" w:hAnsi="Times New Roman"/>
      <w:sz w:val="28"/>
      <w:szCs w:val="24"/>
    </w:rPr>
  </w:style>
  <w:style w:type="paragraph" w:styleId="a6">
    <w:name w:val="List"/>
    <w:basedOn w:val="a5"/>
    <w:rsid w:val="00B803E5"/>
    <w:rPr>
      <w:rFonts w:cs="Droid Sans Devanagari"/>
    </w:rPr>
  </w:style>
  <w:style w:type="paragraph" w:customStyle="1" w:styleId="1">
    <w:name w:val="Название объекта1"/>
    <w:basedOn w:val="a"/>
    <w:qFormat/>
    <w:rsid w:val="00B803E5"/>
    <w:pPr>
      <w:suppressLineNumbers/>
      <w:spacing w:before="120" w:after="120"/>
    </w:pPr>
    <w:rPr>
      <w:rFonts w:ascii="Times New Roman" w:hAnsi="Times New Roman" w:cs="Droid Sans Devanagari"/>
      <w:i/>
      <w:iCs/>
      <w:sz w:val="24"/>
      <w:szCs w:val="24"/>
    </w:rPr>
  </w:style>
  <w:style w:type="paragraph" w:customStyle="1" w:styleId="Index">
    <w:name w:val="Index"/>
    <w:basedOn w:val="a"/>
    <w:qFormat/>
    <w:rsid w:val="00B803E5"/>
    <w:pPr>
      <w:suppressLineNumbers/>
    </w:pPr>
    <w:rPr>
      <w:rFonts w:ascii="Times New Roman" w:hAnsi="Times New Roman" w:cs="Droid Sans Devanagari"/>
    </w:rPr>
  </w:style>
  <w:style w:type="paragraph" w:styleId="a7">
    <w:name w:val="Normal (Web)"/>
    <w:basedOn w:val="a"/>
    <w:uiPriority w:val="99"/>
    <w:qFormat/>
    <w:rsid w:val="00B803E5"/>
    <w:pPr>
      <w:spacing w:before="280" w:after="28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B803E5"/>
    <w:pPr>
      <w:ind w:left="720"/>
      <w:contextualSpacing/>
    </w:pPr>
  </w:style>
  <w:style w:type="paragraph" w:customStyle="1" w:styleId="FirstParagraph">
    <w:name w:val="First Paragraph"/>
    <w:basedOn w:val="a5"/>
    <w:qFormat/>
    <w:rsid w:val="00B803E5"/>
  </w:style>
  <w:style w:type="character" w:styleId="a9">
    <w:name w:val="Hyperlink"/>
    <w:basedOn w:val="a0"/>
    <w:uiPriority w:val="99"/>
    <w:unhideWhenUsed/>
    <w:rsid w:val="006F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gi.urfu.ru/ru/conf/conference-expertise-en/" TargetMode="External"/><Relationship Id="rId5" Type="http://schemas.openxmlformats.org/officeDocument/2006/relationships/hyperlink" Target="mailto:arthist@urf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dc:description/>
  <cp:lastModifiedBy>Якимова</cp:lastModifiedBy>
  <cp:revision>12</cp:revision>
  <dcterms:created xsi:type="dcterms:W3CDTF">2020-04-10T15:33:00Z</dcterms:created>
  <dcterms:modified xsi:type="dcterms:W3CDTF">2021-08-11T10:08:00Z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